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106790">
      <w:pPr>
        <w:pStyle w:val="Centered"/>
      </w:pPr>
      <w:r w:rsidRPr="00A97921">
        <w:t xml:space="preserve">SCHEDULE </w:t>
      </w:r>
      <w:r w:rsidR="002A0E3C" w:rsidRPr="00A97921">
        <w:t xml:space="preserve">2.6 </w:t>
      </w:r>
    </w:p>
    <w:p w14:paraId="080B535E" w14:textId="77777777" w:rsidR="00F61CCA" w:rsidRPr="00A97921" w:rsidRDefault="002A0E3C" w:rsidP="00106790">
      <w:pPr>
        <w:pStyle w:val="Centered"/>
      </w:pPr>
      <w:r w:rsidRPr="00A97921">
        <w:t xml:space="preserve">CALL OFF </w:t>
      </w:r>
      <w:r w:rsidR="00060E09" w:rsidRPr="00A97921">
        <w:t>TEMPLATE</w:t>
      </w:r>
    </w:p>
    <w:p w14:paraId="3589E277" w14:textId="63512814"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6C0BF1">
        <w:rPr>
          <w:rFonts w:asciiTheme="minorHAnsi" w:hAnsiTheme="minorHAnsi" w:cstheme="minorHAnsi"/>
          <w:sz w:val="20"/>
          <w:lang w:val="en-GB" w:eastAsia="en-GB"/>
        </w:rPr>
        <w:t>11</w:t>
      </w:r>
      <w:r w:rsidR="00307954">
        <w:rPr>
          <w:rFonts w:asciiTheme="minorHAnsi" w:hAnsiTheme="minorHAnsi" w:cstheme="minorHAnsi"/>
          <w:sz w:val="20"/>
          <w:lang w:val="en-GB" w:eastAsia="en-GB"/>
        </w:rPr>
        <w:t>/</w:t>
      </w:r>
      <w:r w:rsidR="006C0BF1">
        <w:rPr>
          <w:rFonts w:asciiTheme="minorHAnsi" w:hAnsiTheme="minorHAnsi" w:cstheme="minorHAnsi"/>
          <w:sz w:val="20"/>
          <w:lang w:val="en-GB" w:eastAsia="en-GB"/>
        </w:rPr>
        <w:t>01</w:t>
      </w:r>
      <w:r w:rsidR="00307954">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6C0BF1">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307954">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039"/>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637A38B6"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0E50BC">
              <w:t xml:space="preserve"> </w:t>
            </w:r>
          </w:p>
          <w:p w14:paraId="4D1164B5" w14:textId="7D01D17C"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50BC">
              <w:rPr>
                <w:sz w:val="20"/>
                <w:szCs w:val="20"/>
              </w:rPr>
              <w:t xml:space="preserve">         </w:t>
            </w:r>
            <w:r w:rsidRPr="0032023B">
              <w:rPr>
                <w:sz w:val="20"/>
                <w:szCs w:val="20"/>
              </w:rPr>
              <w:br/>
              <w:t>capitals):</w:t>
            </w:r>
            <w:r w:rsidRPr="0032023B">
              <w:rPr>
                <w:sz w:val="20"/>
                <w:szCs w:val="20"/>
              </w:rPr>
              <w:tab/>
            </w:r>
          </w:p>
          <w:p w14:paraId="2F51535D" w14:textId="5374BF57"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039"/>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17493826"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C50239">
              <w:rPr>
                <w:sz w:val="20"/>
                <w:szCs w:val="20"/>
              </w:rPr>
              <w:t xml:space="preserve"> </w:t>
            </w:r>
          </w:p>
          <w:p w14:paraId="54B4AC45" w14:textId="7250BFB2"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07C95549" w:rsidR="0093009D" w:rsidRPr="0032023B" w:rsidRDefault="0093009D" w:rsidP="005E603C">
            <w:pPr>
              <w:pStyle w:val="StdBodyText"/>
              <w:rPr>
                <w:sz w:val="20"/>
                <w:szCs w:val="20"/>
              </w:rPr>
            </w:pPr>
            <w:r w:rsidRPr="0032023B">
              <w:rPr>
                <w:sz w:val="20"/>
                <w:szCs w:val="20"/>
              </w:rPr>
              <w:t>Position:</w:t>
            </w:r>
            <w:r w:rsidR="00C50239">
              <w:rPr>
                <w:sz w:val="20"/>
                <w:szCs w:val="20"/>
              </w:rPr>
              <w:t xml:space="preserve">            </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106790">
      <w:pPr>
        <w:pStyle w:val="Centered"/>
      </w:pPr>
      <w:r w:rsidRPr="00A97921">
        <w:t xml:space="preserve">Appendix 1 </w:t>
      </w:r>
    </w:p>
    <w:p w14:paraId="7B92A1A4" w14:textId="77777777" w:rsidR="00F61CCA" w:rsidRPr="00A97921" w:rsidRDefault="00BB7222" w:rsidP="0010679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6A952F82"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77696D">
        <w:rPr>
          <w:rFonts w:asciiTheme="minorHAnsi" w:hAnsiTheme="minorHAnsi" w:cstheme="minorHAnsi"/>
          <w:sz w:val="20"/>
          <w:lang w:val="en-GB" w:eastAsia="en-GB"/>
        </w:rPr>
        <w:t xml:space="preserve"> under this Batch EO1</w:t>
      </w:r>
      <w:r w:rsidR="006C0BF1">
        <w:rPr>
          <w:rFonts w:asciiTheme="minorHAnsi" w:hAnsiTheme="minorHAnsi" w:cstheme="minorHAnsi"/>
          <w:sz w:val="20"/>
          <w:lang w:val="en-GB" w:eastAsia="en-GB"/>
        </w:rPr>
        <w:t>2</w:t>
      </w:r>
      <w:r w:rsidR="0077696D">
        <w:rPr>
          <w:rFonts w:asciiTheme="minorHAnsi" w:hAnsiTheme="minorHAnsi" w:cstheme="minorHAnsi"/>
          <w:sz w:val="20"/>
          <w:lang w:val="en-GB" w:eastAsia="en-GB"/>
        </w:rPr>
        <w:t>B Towers</w:t>
      </w:r>
      <w:r w:rsidR="008E4C9A">
        <w:rPr>
          <w:rFonts w:asciiTheme="minorHAnsi" w:hAnsiTheme="minorHAnsi" w:cstheme="minorHAnsi"/>
          <w:sz w:val="20"/>
          <w:lang w:val="en-GB" w:eastAsia="en-GB"/>
        </w:rPr>
        <w:t>:</w:t>
      </w:r>
    </w:p>
    <w:p w14:paraId="72A34EC3" w14:textId="4885D37C" w:rsidR="00BB7222" w:rsidRDefault="00BB7222" w:rsidP="00096EA9">
      <w:pPr>
        <w:pStyle w:val="BodyText"/>
        <w:ind w:left="2220"/>
        <w:rPr>
          <w:rFonts w:asciiTheme="minorHAnsi" w:hAnsiTheme="minorHAnsi" w:cstheme="minorHAnsi"/>
          <w:sz w:val="20"/>
          <w:lang w:val="en-GB" w:eastAsia="en-GB"/>
        </w:rPr>
      </w:pPr>
    </w:p>
    <w:p w14:paraId="2B236BEC" w14:textId="77777777" w:rsidR="00D13202" w:rsidRDefault="00D13202" w:rsidP="00D13202">
      <w:pPr>
        <w:tabs>
          <w:tab w:val="center" w:pos="4513"/>
        </w:tabs>
        <w:rPr>
          <w:lang w:eastAsia="en-GB"/>
        </w:rPr>
      </w:pPr>
    </w:p>
    <w:p w14:paraId="13392FE0" w14:textId="04653E00" w:rsidR="00096EA9" w:rsidRDefault="0077696D" w:rsidP="0077696D">
      <w:pPr>
        <w:pStyle w:val="ListParagraph"/>
        <w:numPr>
          <w:ilvl w:val="0"/>
          <w:numId w:val="29"/>
        </w:numPr>
        <w:tabs>
          <w:tab w:val="center" w:pos="4513"/>
        </w:tabs>
        <w:rPr>
          <w:lang w:eastAsia="en-GB"/>
        </w:rPr>
      </w:pPr>
      <w:r>
        <w:rPr>
          <w:lang w:eastAsia="en-GB"/>
        </w:rPr>
        <w:t>EAS/SRN0</w:t>
      </w:r>
      <w:r w:rsidR="00AB7A37">
        <w:rPr>
          <w:lang w:eastAsia="en-GB"/>
        </w:rPr>
        <w:t>0</w:t>
      </w:r>
      <w:r w:rsidR="006C0BF1">
        <w:rPr>
          <w:lang w:eastAsia="en-GB"/>
        </w:rPr>
        <w:t>17</w:t>
      </w:r>
    </w:p>
    <w:p w14:paraId="6AC0A5F4" w14:textId="011F8DE9" w:rsidR="006C0BF1" w:rsidRDefault="006C0BF1" w:rsidP="0077696D">
      <w:pPr>
        <w:pStyle w:val="ListParagraph"/>
        <w:numPr>
          <w:ilvl w:val="0"/>
          <w:numId w:val="29"/>
        </w:numPr>
        <w:tabs>
          <w:tab w:val="center" w:pos="4513"/>
        </w:tabs>
        <w:rPr>
          <w:lang w:eastAsia="en-GB"/>
        </w:rPr>
      </w:pPr>
      <w:r>
        <w:rPr>
          <w:lang w:eastAsia="en-GB"/>
        </w:rPr>
        <w:t>EAS/SRN1050</w:t>
      </w:r>
    </w:p>
    <w:p w14:paraId="1B1E376B" w14:textId="706EBC67" w:rsidR="006C0BF1" w:rsidRDefault="006C0BF1" w:rsidP="0077696D">
      <w:pPr>
        <w:pStyle w:val="ListParagraph"/>
        <w:numPr>
          <w:ilvl w:val="0"/>
          <w:numId w:val="29"/>
        </w:numPr>
        <w:tabs>
          <w:tab w:val="center" w:pos="4513"/>
        </w:tabs>
        <w:rPr>
          <w:lang w:eastAsia="en-GB"/>
        </w:rPr>
      </w:pPr>
      <w:r>
        <w:rPr>
          <w:lang w:eastAsia="en-GB"/>
        </w:rPr>
        <w:t>EAS/SRN1008</w:t>
      </w:r>
    </w:p>
    <w:p w14:paraId="33F3A253" w14:textId="6FB3AEA3" w:rsidR="0077696D" w:rsidRDefault="0077696D" w:rsidP="0077696D">
      <w:pPr>
        <w:pStyle w:val="ListParagraph"/>
        <w:numPr>
          <w:ilvl w:val="0"/>
          <w:numId w:val="29"/>
        </w:numPr>
        <w:tabs>
          <w:tab w:val="center" w:pos="4513"/>
        </w:tabs>
        <w:rPr>
          <w:lang w:eastAsia="en-GB"/>
        </w:rPr>
      </w:pPr>
      <w:r>
        <w:rPr>
          <w:lang w:eastAsia="en-GB"/>
        </w:rPr>
        <w:t>EAS/SRN</w:t>
      </w:r>
      <w:r w:rsidR="006C0BF1">
        <w:rPr>
          <w:lang w:eastAsia="en-GB"/>
        </w:rPr>
        <w:t>0517</w:t>
      </w:r>
    </w:p>
    <w:p w14:paraId="0889C737" w14:textId="77777777" w:rsidR="006C0BF1" w:rsidRDefault="006C0BF1" w:rsidP="006C0BF1">
      <w:pPr>
        <w:tabs>
          <w:tab w:val="center" w:pos="4513"/>
        </w:tabs>
        <w:rPr>
          <w:lang w:eastAsia="en-GB"/>
        </w:rPr>
      </w:pPr>
    </w:p>
    <w:p w14:paraId="13E65539" w14:textId="77777777" w:rsidR="00F61CCA" w:rsidRPr="00A97921" w:rsidRDefault="00060E09" w:rsidP="00106790">
      <w:pPr>
        <w:pStyle w:val="Centered"/>
      </w:pPr>
      <w:r w:rsidRPr="00A97921">
        <w:t>Appendix 2</w:t>
      </w:r>
    </w:p>
    <w:p w14:paraId="06601FA3" w14:textId="4E7029F6" w:rsidR="001F16C5" w:rsidRPr="00A97921" w:rsidRDefault="00A9639D" w:rsidP="00106790">
      <w:pPr>
        <w:pStyle w:val="Centered"/>
      </w:pPr>
      <w:r w:rsidRPr="00A97921">
        <w:t xml:space="preserve">EAS </w:t>
      </w:r>
      <w:r w:rsidR="00CE0247">
        <w:t>Upgrade</w:t>
      </w:r>
      <w:r w:rsidR="00301341" w:rsidRPr="00A97921">
        <w:t xml:space="preserve"> </w:t>
      </w:r>
      <w:r w:rsidRPr="00A97921">
        <w:t xml:space="preserve">Sites </w:t>
      </w:r>
      <w:r w:rsidR="00CE0247">
        <w:t>Minor</w:t>
      </w:r>
      <w:r w:rsidR="00CE0247" w:rsidRPr="00A97921">
        <w:t xml:space="preserve"> </w:t>
      </w:r>
      <w:r w:rsidRPr="00A97921">
        <w:t>Schedule of Works</w:t>
      </w:r>
      <w:r w:rsidR="001F16C5" w:rsidRPr="00A97921">
        <w:t xml:space="preserve"> </w:t>
      </w:r>
    </w:p>
    <w:p w14:paraId="30AA5EF9" w14:textId="719FCCF8" w:rsidR="00F61CCA" w:rsidRPr="00A97921" w:rsidRDefault="001F16C5" w:rsidP="00106790">
      <w:pPr>
        <w:pStyle w:val="Centered"/>
      </w:pPr>
      <w:r w:rsidRPr="00A97921">
        <w:t>(</w:t>
      </w:r>
      <w:proofErr w:type="gramStart"/>
      <w:r w:rsidRPr="00A97921">
        <w:t>to</w:t>
      </w:r>
      <w:proofErr w:type="gramEnd"/>
      <w:r w:rsidRPr="00A97921">
        <w:t xml:space="preserve"> be submitted by Supplier for each EAS </w:t>
      </w:r>
      <w:r w:rsidR="00CE0247">
        <w:t>Upgrade</w:t>
      </w:r>
      <w:r w:rsidR="007B1034" w:rsidRPr="00A97921">
        <w:t xml:space="preserve"> </w:t>
      </w:r>
      <w:r w:rsidRPr="00A97921">
        <w:t>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p w14:paraId="48889100" w14:textId="50E13C33" w:rsidR="00096EA9" w:rsidRDefault="00CA5359"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w:t>
      </w:r>
      <w:r w:rsidR="0077696D">
        <w:rPr>
          <w:rFonts w:asciiTheme="minorHAnsi" w:hAnsiTheme="minorHAnsi" w:cstheme="minorHAnsi"/>
          <w:b/>
          <w:sz w:val="20"/>
          <w:lang w:val="en-GB" w:eastAsia="en-GB"/>
        </w:rPr>
        <w:t>/SRN</w:t>
      </w:r>
      <w:r w:rsidR="00FE31E1">
        <w:rPr>
          <w:rFonts w:asciiTheme="minorHAnsi" w:hAnsiTheme="minorHAnsi" w:cstheme="minorHAnsi"/>
          <w:b/>
          <w:sz w:val="20"/>
          <w:lang w:val="en-GB" w:eastAsia="en-GB"/>
        </w:rPr>
        <w:t>0</w:t>
      </w:r>
      <w:r w:rsidR="00AB7A37">
        <w:rPr>
          <w:rFonts w:asciiTheme="minorHAnsi" w:hAnsiTheme="minorHAnsi" w:cstheme="minorHAnsi"/>
          <w:b/>
          <w:sz w:val="20"/>
          <w:lang w:val="en-GB" w:eastAsia="en-GB"/>
        </w:rPr>
        <w:t>0</w:t>
      </w:r>
      <w:r w:rsidR="006C0BF1">
        <w:rPr>
          <w:rFonts w:asciiTheme="minorHAnsi" w:hAnsiTheme="minorHAnsi" w:cstheme="minorHAnsi"/>
          <w:b/>
          <w:sz w:val="20"/>
          <w:lang w:val="en-GB" w:eastAsia="en-GB"/>
        </w:rPr>
        <w:t>17</w:t>
      </w:r>
      <w:r w:rsidR="00307954">
        <w:rPr>
          <w:rFonts w:asciiTheme="minorHAnsi" w:hAnsiTheme="minorHAnsi" w:cstheme="minorHAnsi"/>
          <w:b/>
          <w:sz w:val="20"/>
          <w:lang w:val="en-GB" w:eastAsia="en-GB"/>
        </w:rPr>
        <w:t xml:space="preserve"> </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0077696D" w:rsidRPr="0077696D">
        <w:rPr>
          <w:rFonts w:asciiTheme="minorHAnsi" w:hAnsiTheme="minorHAnsi" w:cstheme="minorHAnsi"/>
          <w:b/>
          <w:sz w:val="20"/>
          <w:highlight w:val="yellow"/>
          <w:lang w:val="en-GB" w:eastAsia="en-GB"/>
        </w:rPr>
        <w:t>SUPPLIER REFERENCE</w:t>
      </w:r>
      <w:r>
        <w:rPr>
          <w:rFonts w:asciiTheme="minorHAnsi" w:hAnsiTheme="minorHAnsi" w:cstheme="minorHAnsi"/>
          <w:b/>
          <w:sz w:val="20"/>
          <w:lang w:val="en-GB" w:eastAsia="en-GB"/>
        </w:rPr>
        <w:t>]</w:t>
      </w:r>
    </w:p>
    <w:p w14:paraId="2F2C70D2" w14:textId="4294FB0E" w:rsidR="0077696D" w:rsidRDefault="0077696D"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EAS/SRN</w:t>
      </w:r>
      <w:r w:rsidR="006C0BF1">
        <w:rPr>
          <w:rFonts w:asciiTheme="minorHAnsi" w:hAnsiTheme="minorHAnsi" w:cstheme="minorHAnsi"/>
          <w:b/>
          <w:sz w:val="20"/>
          <w:lang w:val="en-GB" w:eastAsia="en-GB"/>
        </w:rPr>
        <w:t>1050</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Pr="0077696D">
        <w:rPr>
          <w:rFonts w:asciiTheme="minorHAnsi" w:hAnsiTheme="minorHAnsi" w:cstheme="minorHAnsi"/>
          <w:b/>
          <w:sz w:val="20"/>
          <w:highlight w:val="yellow"/>
          <w:lang w:val="en-GB" w:eastAsia="en-GB"/>
        </w:rPr>
        <w:t>SUPPLIER REFERENCE</w:t>
      </w:r>
      <w:r>
        <w:rPr>
          <w:rFonts w:asciiTheme="minorHAnsi" w:hAnsiTheme="minorHAnsi" w:cstheme="minorHAnsi"/>
          <w:b/>
          <w:sz w:val="20"/>
          <w:lang w:val="en-GB" w:eastAsia="en-GB"/>
        </w:rPr>
        <w:t>]</w:t>
      </w:r>
    </w:p>
    <w:p w14:paraId="0587D0F5" w14:textId="22ACC75B" w:rsidR="006C0BF1" w:rsidRDefault="006C0BF1" w:rsidP="006C0BF1">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EAS/SRN1008</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Pr="0077696D">
        <w:rPr>
          <w:rFonts w:asciiTheme="minorHAnsi" w:hAnsiTheme="minorHAnsi" w:cstheme="minorHAnsi"/>
          <w:b/>
          <w:sz w:val="20"/>
          <w:highlight w:val="yellow"/>
          <w:lang w:val="en-GB" w:eastAsia="en-GB"/>
        </w:rPr>
        <w:t>SUPPLIER REFERENCE</w:t>
      </w:r>
      <w:r>
        <w:rPr>
          <w:rFonts w:asciiTheme="minorHAnsi" w:hAnsiTheme="minorHAnsi" w:cstheme="minorHAnsi"/>
          <w:b/>
          <w:sz w:val="20"/>
          <w:lang w:val="en-GB" w:eastAsia="en-GB"/>
        </w:rPr>
        <w:t>]</w:t>
      </w:r>
    </w:p>
    <w:p w14:paraId="6014F36C" w14:textId="104C8327" w:rsidR="006C0BF1" w:rsidRDefault="006C0BF1" w:rsidP="006C0BF1">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EAS/SRN0517</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Pr="0077696D">
        <w:rPr>
          <w:rFonts w:asciiTheme="minorHAnsi" w:hAnsiTheme="minorHAnsi" w:cstheme="minorHAnsi"/>
          <w:b/>
          <w:sz w:val="20"/>
          <w:highlight w:val="yellow"/>
          <w:lang w:val="en-GB" w:eastAsia="en-GB"/>
        </w:rPr>
        <w:t>SUPPLIER REFERENCE</w:t>
      </w:r>
      <w:r>
        <w:rPr>
          <w:rFonts w:asciiTheme="minorHAnsi" w:hAnsiTheme="minorHAnsi" w:cstheme="minorHAnsi"/>
          <w:b/>
          <w:sz w:val="20"/>
          <w:lang w:val="en-GB" w:eastAsia="en-GB"/>
        </w:rPr>
        <w:t>]</w:t>
      </w:r>
    </w:p>
    <w:p w14:paraId="73D7F5D8" w14:textId="749BEBF3" w:rsidR="00CA5359" w:rsidRDefault="00CA5359" w:rsidP="00B428B6">
      <w:pPr>
        <w:pStyle w:val="BodyText"/>
        <w:rPr>
          <w:rFonts w:asciiTheme="minorHAnsi" w:hAnsiTheme="minorHAnsi" w:cstheme="minorHAnsi"/>
          <w:b/>
          <w:sz w:val="20"/>
          <w:lang w:val="en-GB" w:eastAsia="en-GB"/>
        </w:rPr>
      </w:pPr>
    </w:p>
    <w:p w14:paraId="78DD4811" w14:textId="77777777" w:rsidR="00CA5359" w:rsidRPr="00BC2196" w:rsidRDefault="00CA5359" w:rsidP="00B428B6">
      <w:pPr>
        <w:pStyle w:val="BodyText"/>
        <w:rPr>
          <w:rFonts w:asciiTheme="minorHAnsi" w:hAnsiTheme="minorHAnsi" w:cstheme="minorHAnsi"/>
          <w:b/>
          <w:sz w:val="20"/>
          <w:lang w:val="en-GB" w:eastAsia="en-GB"/>
        </w:rPr>
      </w:pPr>
    </w:p>
    <w:p w14:paraId="09F170BD" w14:textId="1CC2B4F8" w:rsidR="00A9639D" w:rsidRPr="00A97921" w:rsidRDefault="005B4CE3" w:rsidP="0055632C">
      <w:pPr>
        <w:pStyle w:val="ListParagraph"/>
        <w:numPr>
          <w:ilvl w:val="0"/>
          <w:numId w:val="21"/>
        </w:numPr>
        <w:spacing w:after="0" w:line="240" w:lineRule="auto"/>
        <w:rPr>
          <w:rFonts w:cstheme="minorHAnsi"/>
          <w:sz w:val="20"/>
          <w:szCs w:val="20"/>
          <w:lang w:eastAsia="en-GB"/>
        </w:rPr>
      </w:pPr>
      <w:r>
        <w:rPr>
          <w:rFonts w:cstheme="minorHAnsi"/>
          <w:sz w:val="20"/>
          <w:szCs w:val="20"/>
          <w:lang w:eastAsia="en-GB"/>
        </w:rPr>
        <w:t>Operational</w:t>
      </w:r>
      <w:r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36B33E14" w14:textId="224C7F6E" w:rsidR="00CC56AD" w:rsidRDefault="00CC56AD" w:rsidP="00AC35A4">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w:t>
      </w:r>
      <w:r w:rsidR="00421C0F">
        <w:rPr>
          <w:rFonts w:cstheme="minorHAnsi"/>
          <w:sz w:val="20"/>
          <w:szCs w:val="20"/>
          <w:lang w:eastAsia="en-GB"/>
        </w:rPr>
        <w:t>2</w:t>
      </w:r>
      <w:r>
        <w:rPr>
          <w:rFonts w:cstheme="minorHAnsi"/>
          <w:sz w:val="20"/>
          <w:szCs w:val="20"/>
          <w:lang w:eastAsia="en-GB"/>
        </w:rPr>
        <w:t xml:space="preserve">, this instructs the early ordering of equipment for </w:t>
      </w:r>
      <w:r w:rsidR="00096EA9">
        <w:rPr>
          <w:rFonts w:cstheme="minorHAnsi"/>
          <w:sz w:val="20"/>
          <w:szCs w:val="20"/>
          <w:lang w:eastAsia="en-GB"/>
        </w:rPr>
        <w:t>the sites listed above</w:t>
      </w:r>
      <w:r>
        <w:rPr>
          <w:rFonts w:cstheme="minorHAnsi"/>
          <w:sz w:val="20"/>
          <w:szCs w:val="20"/>
          <w:lang w:eastAsia="en-GB"/>
        </w:rPr>
        <w:t xml:space="preserve"> as per the quot</w:t>
      </w:r>
      <w:r w:rsidR="009F671E">
        <w:rPr>
          <w:rFonts w:cstheme="minorHAnsi"/>
          <w:sz w:val="20"/>
          <w:szCs w:val="20"/>
          <w:lang w:eastAsia="en-GB"/>
        </w:rPr>
        <w:t>ed costs below</w:t>
      </w:r>
      <w:r w:rsidR="00E93A2D">
        <w:rPr>
          <w:rFonts w:cstheme="minorHAnsi"/>
          <w:sz w:val="20"/>
          <w:szCs w:val="20"/>
          <w:lang w:eastAsia="en-GB"/>
        </w:rPr>
        <w:t>.</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672807E3" w:rsidR="00CC56AD" w:rsidRDefault="00CC56AD" w:rsidP="00CC56AD">
      <w:pPr>
        <w:pStyle w:val="ListParagraph"/>
        <w:spacing w:after="0" w:line="240" w:lineRule="auto"/>
        <w:ind w:left="1440"/>
        <w:rPr>
          <w:rFonts w:cstheme="minorHAnsi"/>
          <w:sz w:val="20"/>
          <w:szCs w:val="20"/>
          <w:lang w:eastAsia="en-GB"/>
        </w:rPr>
      </w:pPr>
    </w:p>
    <w:tbl>
      <w:tblPr>
        <w:tblW w:w="3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4"/>
        <w:gridCol w:w="1660"/>
      </w:tblGrid>
      <w:tr w:rsidR="00307954" w:rsidRPr="00996EB8" w14:paraId="7EE18525" w14:textId="77777777" w:rsidTr="00622C04">
        <w:trPr>
          <w:trHeight w:val="300"/>
          <w:jc w:val="center"/>
        </w:trPr>
        <w:tc>
          <w:tcPr>
            <w:tcW w:w="1984" w:type="dxa"/>
            <w:shd w:val="clear" w:color="auto" w:fill="FFC000"/>
            <w:noWrap/>
            <w:tcMar>
              <w:top w:w="0" w:type="dxa"/>
              <w:left w:w="108" w:type="dxa"/>
              <w:bottom w:w="0" w:type="dxa"/>
              <w:right w:w="108" w:type="dxa"/>
            </w:tcMar>
            <w:vAlign w:val="center"/>
            <w:hideMark/>
          </w:tcPr>
          <w:p w14:paraId="2CC1F3CA" w14:textId="77777777" w:rsidR="00307954" w:rsidRPr="00996EB8" w:rsidRDefault="00307954">
            <w:pPr>
              <w:jc w:val="center"/>
              <w:rPr>
                <w:rFonts w:asciiTheme="majorHAnsi" w:hAnsiTheme="majorHAnsi" w:cstheme="majorHAnsi"/>
                <w:sz w:val="20"/>
                <w:szCs w:val="20"/>
                <w:lang w:eastAsia="en-GB"/>
              </w:rPr>
            </w:pPr>
            <w:r w:rsidRPr="00996EB8">
              <w:rPr>
                <w:rFonts w:asciiTheme="majorHAnsi" w:hAnsiTheme="majorHAnsi" w:cstheme="majorHAnsi"/>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27B24F72" w14:textId="53861CB1" w:rsidR="00307954" w:rsidRPr="00996EB8" w:rsidRDefault="00307954">
            <w:pPr>
              <w:jc w:val="center"/>
              <w:rPr>
                <w:rFonts w:asciiTheme="majorHAnsi" w:hAnsiTheme="majorHAnsi" w:cstheme="majorHAnsi"/>
                <w:sz w:val="20"/>
                <w:szCs w:val="20"/>
                <w:lang w:eastAsia="en-GB"/>
              </w:rPr>
            </w:pPr>
            <w:r>
              <w:rPr>
                <w:rFonts w:asciiTheme="majorHAnsi" w:hAnsiTheme="majorHAnsi" w:cstheme="majorHAnsi"/>
                <w:sz w:val="20"/>
                <w:szCs w:val="20"/>
                <w:lang w:eastAsia="en-GB"/>
              </w:rPr>
              <w:t>Equipment</w:t>
            </w:r>
            <w:r w:rsidRPr="00996EB8">
              <w:rPr>
                <w:rFonts w:asciiTheme="majorHAnsi" w:hAnsiTheme="majorHAnsi" w:cstheme="majorHAnsi"/>
                <w:sz w:val="20"/>
                <w:szCs w:val="20"/>
                <w:lang w:eastAsia="en-GB"/>
              </w:rPr>
              <w:t xml:space="preserve"> costs</w:t>
            </w:r>
          </w:p>
        </w:tc>
      </w:tr>
      <w:tr w:rsidR="00307954" w:rsidRPr="00996EB8" w14:paraId="366386A4" w14:textId="77777777" w:rsidTr="00622C04">
        <w:trPr>
          <w:trHeight w:val="300"/>
          <w:jc w:val="center"/>
        </w:trPr>
        <w:tc>
          <w:tcPr>
            <w:tcW w:w="1984" w:type="dxa"/>
            <w:tcMar>
              <w:top w:w="0" w:type="dxa"/>
              <w:left w:w="108" w:type="dxa"/>
              <w:bottom w:w="0" w:type="dxa"/>
              <w:right w:w="108" w:type="dxa"/>
            </w:tcMar>
            <w:vAlign w:val="center"/>
            <w:hideMark/>
          </w:tcPr>
          <w:p w14:paraId="2CBDD1EE" w14:textId="23B432B2" w:rsidR="00307954" w:rsidRPr="00996EB8" w:rsidRDefault="00307954">
            <w:pPr>
              <w:jc w:val="center"/>
              <w:rPr>
                <w:rFonts w:asciiTheme="majorHAnsi" w:hAnsiTheme="majorHAnsi" w:cstheme="majorHAnsi"/>
                <w:sz w:val="20"/>
                <w:szCs w:val="20"/>
                <w:lang w:eastAsia="en-GB"/>
              </w:rPr>
            </w:pPr>
            <w:r w:rsidRPr="00996EB8">
              <w:rPr>
                <w:rFonts w:asciiTheme="majorHAnsi" w:hAnsiTheme="majorHAnsi" w:cstheme="majorHAnsi"/>
                <w:sz w:val="20"/>
                <w:szCs w:val="20"/>
                <w:lang w:eastAsia="en-GB"/>
              </w:rPr>
              <w:t>EAS</w:t>
            </w:r>
            <w:r w:rsidR="0077696D">
              <w:rPr>
                <w:rFonts w:asciiTheme="majorHAnsi" w:hAnsiTheme="majorHAnsi" w:cstheme="majorHAnsi"/>
                <w:sz w:val="20"/>
                <w:szCs w:val="20"/>
                <w:lang w:eastAsia="en-GB"/>
              </w:rPr>
              <w:t>/SRN0</w:t>
            </w:r>
            <w:r w:rsidR="00AB7A37">
              <w:rPr>
                <w:rFonts w:asciiTheme="majorHAnsi" w:hAnsiTheme="majorHAnsi" w:cstheme="majorHAnsi"/>
                <w:sz w:val="20"/>
                <w:szCs w:val="20"/>
                <w:lang w:eastAsia="en-GB"/>
              </w:rPr>
              <w:t>0</w:t>
            </w:r>
            <w:r w:rsidR="006C0BF1">
              <w:rPr>
                <w:rFonts w:asciiTheme="majorHAnsi" w:hAnsiTheme="majorHAnsi" w:cstheme="majorHAnsi"/>
                <w:sz w:val="20"/>
                <w:szCs w:val="20"/>
                <w:lang w:eastAsia="en-GB"/>
              </w:rPr>
              <w:t>17</w:t>
            </w:r>
          </w:p>
        </w:tc>
        <w:tc>
          <w:tcPr>
            <w:tcW w:w="1660" w:type="dxa"/>
            <w:noWrap/>
            <w:tcMar>
              <w:top w:w="0" w:type="dxa"/>
              <w:left w:w="108" w:type="dxa"/>
              <w:bottom w:w="0" w:type="dxa"/>
              <w:right w:w="108" w:type="dxa"/>
            </w:tcMar>
            <w:vAlign w:val="center"/>
            <w:hideMark/>
          </w:tcPr>
          <w:p w14:paraId="092B6A1C" w14:textId="2083C32C" w:rsidR="00307954" w:rsidRPr="00B14821" w:rsidRDefault="006C0BF1">
            <w:pPr>
              <w:jc w:val="right"/>
              <w:rPr>
                <w:rFonts w:asciiTheme="majorHAnsi" w:hAnsiTheme="majorHAnsi" w:cstheme="majorHAnsi"/>
                <w:sz w:val="20"/>
                <w:szCs w:val="20"/>
                <w:lang w:eastAsia="en-GB"/>
              </w:rPr>
            </w:pPr>
            <w:r>
              <w:rPr>
                <w:rFonts w:ascii="Arial" w:hAnsi="Arial" w:cs="Arial"/>
              </w:rPr>
              <w:t>£</w:t>
            </w:r>
            <w:r w:rsidR="0006634B">
              <w:rPr>
                <w:rFonts w:ascii="Arial" w:hAnsi="Arial" w:cs="Arial"/>
              </w:rPr>
              <w:t>REDACTED</w:t>
            </w:r>
          </w:p>
        </w:tc>
      </w:tr>
      <w:tr w:rsidR="0077696D" w:rsidRPr="00996EB8" w14:paraId="1CA698DF" w14:textId="77777777" w:rsidTr="00622C04">
        <w:trPr>
          <w:trHeight w:val="300"/>
          <w:jc w:val="center"/>
        </w:trPr>
        <w:tc>
          <w:tcPr>
            <w:tcW w:w="1984" w:type="dxa"/>
            <w:tcMar>
              <w:top w:w="0" w:type="dxa"/>
              <w:left w:w="108" w:type="dxa"/>
              <w:bottom w:w="0" w:type="dxa"/>
              <w:right w:w="108" w:type="dxa"/>
            </w:tcMar>
            <w:vAlign w:val="center"/>
          </w:tcPr>
          <w:p w14:paraId="7584DD2D" w14:textId="35D3FA1A" w:rsidR="0077696D" w:rsidRPr="00996EB8" w:rsidRDefault="0077696D">
            <w:pPr>
              <w:jc w:val="center"/>
              <w:rPr>
                <w:rFonts w:asciiTheme="majorHAnsi" w:hAnsiTheme="majorHAnsi" w:cstheme="majorHAnsi"/>
                <w:sz w:val="20"/>
                <w:szCs w:val="20"/>
                <w:lang w:eastAsia="en-GB"/>
              </w:rPr>
            </w:pPr>
            <w:r>
              <w:rPr>
                <w:rFonts w:asciiTheme="majorHAnsi" w:hAnsiTheme="majorHAnsi" w:cstheme="majorHAnsi"/>
                <w:sz w:val="20"/>
                <w:szCs w:val="20"/>
                <w:lang w:eastAsia="en-GB"/>
              </w:rPr>
              <w:t>EAS/SRN</w:t>
            </w:r>
            <w:r w:rsidR="006C0BF1">
              <w:rPr>
                <w:rFonts w:asciiTheme="majorHAnsi" w:hAnsiTheme="majorHAnsi" w:cstheme="majorHAnsi"/>
                <w:sz w:val="20"/>
                <w:szCs w:val="20"/>
                <w:lang w:eastAsia="en-GB"/>
              </w:rPr>
              <w:t>1050</w:t>
            </w:r>
          </w:p>
        </w:tc>
        <w:tc>
          <w:tcPr>
            <w:tcW w:w="1660" w:type="dxa"/>
            <w:noWrap/>
            <w:tcMar>
              <w:top w:w="0" w:type="dxa"/>
              <w:left w:w="108" w:type="dxa"/>
              <w:bottom w:w="0" w:type="dxa"/>
              <w:right w:w="108" w:type="dxa"/>
            </w:tcMar>
            <w:vAlign w:val="center"/>
          </w:tcPr>
          <w:p w14:paraId="0525F7F8" w14:textId="79E32A79" w:rsidR="0077696D" w:rsidRPr="00B14821" w:rsidDel="0077696D" w:rsidRDefault="006C0BF1">
            <w:pPr>
              <w:jc w:val="right"/>
              <w:rPr>
                <w:rFonts w:ascii="Arial" w:hAnsi="Arial" w:cs="Arial"/>
                <w:sz w:val="20"/>
                <w:szCs w:val="20"/>
              </w:rPr>
            </w:pPr>
            <w:r>
              <w:rPr>
                <w:rFonts w:ascii="Arial" w:hAnsi="Arial" w:cs="Arial"/>
              </w:rPr>
              <w:t>£</w:t>
            </w:r>
            <w:r w:rsidR="0006634B">
              <w:rPr>
                <w:rFonts w:ascii="Arial" w:hAnsi="Arial" w:cs="Arial"/>
              </w:rPr>
              <w:t>REDACTED</w:t>
            </w:r>
          </w:p>
        </w:tc>
      </w:tr>
      <w:tr w:rsidR="006C0BF1" w:rsidRPr="00996EB8" w14:paraId="34AF578C" w14:textId="77777777" w:rsidTr="00622C04">
        <w:trPr>
          <w:trHeight w:val="300"/>
          <w:jc w:val="center"/>
        </w:trPr>
        <w:tc>
          <w:tcPr>
            <w:tcW w:w="1984" w:type="dxa"/>
            <w:tcMar>
              <w:top w:w="0" w:type="dxa"/>
              <w:left w:w="108" w:type="dxa"/>
              <w:bottom w:w="0" w:type="dxa"/>
              <w:right w:w="108" w:type="dxa"/>
            </w:tcMar>
            <w:vAlign w:val="center"/>
          </w:tcPr>
          <w:p w14:paraId="7D721A0A" w14:textId="41B9F59C" w:rsidR="006C0BF1" w:rsidRDefault="006C0BF1">
            <w:pPr>
              <w:jc w:val="center"/>
              <w:rPr>
                <w:rFonts w:asciiTheme="majorHAnsi" w:hAnsiTheme="majorHAnsi" w:cstheme="majorHAnsi"/>
                <w:sz w:val="20"/>
                <w:szCs w:val="20"/>
                <w:lang w:eastAsia="en-GB"/>
              </w:rPr>
            </w:pPr>
            <w:r>
              <w:rPr>
                <w:rFonts w:asciiTheme="majorHAnsi" w:hAnsiTheme="majorHAnsi" w:cstheme="majorHAnsi"/>
                <w:sz w:val="20"/>
                <w:szCs w:val="20"/>
                <w:lang w:eastAsia="en-GB"/>
              </w:rPr>
              <w:t>EAS/SRN1008</w:t>
            </w:r>
          </w:p>
        </w:tc>
        <w:tc>
          <w:tcPr>
            <w:tcW w:w="1660" w:type="dxa"/>
            <w:noWrap/>
            <w:tcMar>
              <w:top w:w="0" w:type="dxa"/>
              <w:left w:w="108" w:type="dxa"/>
              <w:bottom w:w="0" w:type="dxa"/>
              <w:right w:w="108" w:type="dxa"/>
            </w:tcMar>
            <w:vAlign w:val="center"/>
          </w:tcPr>
          <w:p w14:paraId="1D5DDB36" w14:textId="1AE16CB4" w:rsidR="006C0BF1" w:rsidRDefault="006C0BF1">
            <w:pPr>
              <w:jc w:val="right"/>
              <w:rPr>
                <w:rFonts w:ascii="Arial" w:hAnsi="Arial" w:cs="Arial"/>
                <w:sz w:val="20"/>
                <w:szCs w:val="20"/>
              </w:rPr>
            </w:pPr>
            <w:r>
              <w:rPr>
                <w:rFonts w:ascii="Arial" w:hAnsi="Arial" w:cs="Arial"/>
              </w:rPr>
              <w:t>£</w:t>
            </w:r>
            <w:r w:rsidR="0006634B">
              <w:rPr>
                <w:rFonts w:ascii="Arial" w:hAnsi="Arial" w:cs="Arial"/>
              </w:rPr>
              <w:t>REDACTED</w:t>
            </w:r>
          </w:p>
        </w:tc>
      </w:tr>
      <w:tr w:rsidR="006C0BF1" w:rsidRPr="00996EB8" w14:paraId="69F764E5" w14:textId="77777777" w:rsidTr="00622C04">
        <w:trPr>
          <w:trHeight w:val="300"/>
          <w:jc w:val="center"/>
        </w:trPr>
        <w:tc>
          <w:tcPr>
            <w:tcW w:w="1984" w:type="dxa"/>
            <w:tcMar>
              <w:top w:w="0" w:type="dxa"/>
              <w:left w:w="108" w:type="dxa"/>
              <w:bottom w:w="0" w:type="dxa"/>
              <w:right w:w="108" w:type="dxa"/>
            </w:tcMar>
            <w:vAlign w:val="center"/>
          </w:tcPr>
          <w:p w14:paraId="25AB7AAD" w14:textId="58E9B965" w:rsidR="006C0BF1" w:rsidRDefault="006C0BF1">
            <w:pPr>
              <w:jc w:val="center"/>
              <w:rPr>
                <w:rFonts w:asciiTheme="majorHAnsi" w:hAnsiTheme="majorHAnsi" w:cstheme="majorHAnsi"/>
                <w:sz w:val="20"/>
                <w:szCs w:val="20"/>
                <w:lang w:eastAsia="en-GB"/>
              </w:rPr>
            </w:pPr>
            <w:r>
              <w:rPr>
                <w:rFonts w:asciiTheme="majorHAnsi" w:hAnsiTheme="majorHAnsi" w:cstheme="majorHAnsi"/>
                <w:sz w:val="20"/>
                <w:szCs w:val="20"/>
                <w:lang w:eastAsia="en-GB"/>
              </w:rPr>
              <w:t>EAS/SRN0517</w:t>
            </w:r>
          </w:p>
        </w:tc>
        <w:tc>
          <w:tcPr>
            <w:tcW w:w="1660" w:type="dxa"/>
            <w:noWrap/>
            <w:tcMar>
              <w:top w:w="0" w:type="dxa"/>
              <w:left w:w="108" w:type="dxa"/>
              <w:bottom w:w="0" w:type="dxa"/>
              <w:right w:w="108" w:type="dxa"/>
            </w:tcMar>
            <w:vAlign w:val="center"/>
          </w:tcPr>
          <w:p w14:paraId="3E8E08E1" w14:textId="5513FBE6" w:rsidR="006C0BF1" w:rsidRDefault="006C0BF1">
            <w:pPr>
              <w:jc w:val="right"/>
              <w:rPr>
                <w:rFonts w:ascii="Arial" w:hAnsi="Arial" w:cs="Arial"/>
                <w:sz w:val="20"/>
                <w:szCs w:val="20"/>
              </w:rPr>
            </w:pPr>
            <w:r>
              <w:rPr>
                <w:rFonts w:ascii="Arial" w:hAnsi="Arial" w:cs="Arial"/>
              </w:rPr>
              <w:t>£</w:t>
            </w:r>
            <w:r w:rsidR="0006634B">
              <w:rPr>
                <w:rFonts w:ascii="Arial" w:hAnsi="Arial" w:cs="Arial"/>
              </w:rPr>
              <w:t>REDACTED</w:t>
            </w:r>
          </w:p>
        </w:tc>
      </w:tr>
    </w:tbl>
    <w:p w14:paraId="18F34557" w14:textId="09D2CF63" w:rsidR="00C37ED4" w:rsidRPr="00B04FE6" w:rsidRDefault="00C37ED4" w:rsidP="007B1034">
      <w:pPr>
        <w:tabs>
          <w:tab w:val="left" w:pos="950"/>
        </w:tabs>
        <w:spacing w:after="0" w:line="240" w:lineRule="auto"/>
        <w:rPr>
          <w:rFonts w:cstheme="minorHAnsi"/>
          <w:sz w:val="20"/>
          <w:szCs w:val="20"/>
        </w:rPr>
      </w:pPr>
    </w:p>
    <w:sectPr w:rsidR="00C37ED4" w:rsidRPr="00B04FE6">
      <w:headerReference w:type="default" r:id="rId8"/>
      <w:footerReference w:type="default" r:id="rId9"/>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4E5640"/>
    <w:multiLevelType w:val="multilevel"/>
    <w:tmpl w:val="A984B39C"/>
    <w:numStyleLink w:val="Level"/>
  </w:abstractNum>
  <w:abstractNum w:abstractNumId="17" w15:restartNumberingAfterBreak="0">
    <w:nsid w:val="4AE91D95"/>
    <w:multiLevelType w:val="hybridMultilevel"/>
    <w:tmpl w:val="13EC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C92B75"/>
    <w:multiLevelType w:val="multilevel"/>
    <w:tmpl w:val="5C129AB6"/>
    <w:numStyleLink w:val="Definitions"/>
  </w:abstractNum>
  <w:abstractNum w:abstractNumId="20"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C2885"/>
    <w:multiLevelType w:val="multilevel"/>
    <w:tmpl w:val="0F745380"/>
    <w:numStyleLink w:val="Bullets"/>
  </w:abstractNum>
  <w:abstractNum w:abstractNumId="24"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7"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1"/>
  </w:num>
  <w:num w:numId="2" w16cid:durableId="771978516">
    <w:abstractNumId w:val="0"/>
  </w:num>
  <w:num w:numId="3" w16cid:durableId="1353606799">
    <w:abstractNumId w:val="27"/>
  </w:num>
  <w:num w:numId="4" w16cid:durableId="481434682">
    <w:abstractNumId w:val="24"/>
  </w:num>
  <w:num w:numId="5" w16cid:durableId="64107210">
    <w:abstractNumId w:val="5"/>
  </w:num>
  <w:num w:numId="6" w16cid:durableId="140659760">
    <w:abstractNumId w:val="4"/>
  </w:num>
  <w:num w:numId="7" w16cid:durableId="1651135251">
    <w:abstractNumId w:val="10"/>
  </w:num>
  <w:num w:numId="8" w16cid:durableId="1348748017">
    <w:abstractNumId w:val="3"/>
  </w:num>
  <w:num w:numId="9" w16cid:durableId="1292246680">
    <w:abstractNumId w:val="12"/>
  </w:num>
  <w:num w:numId="10" w16cid:durableId="148835951">
    <w:abstractNumId w:val="9"/>
  </w:num>
  <w:num w:numId="11" w16cid:durableId="1922788527">
    <w:abstractNumId w:val="2"/>
  </w:num>
  <w:num w:numId="12" w16cid:durableId="1724016214">
    <w:abstractNumId w:val="14"/>
  </w:num>
  <w:num w:numId="13" w16cid:durableId="1079210161">
    <w:abstractNumId w:val="16"/>
  </w:num>
  <w:num w:numId="14" w16cid:durableId="1041443469">
    <w:abstractNumId w:val="19"/>
  </w:num>
  <w:num w:numId="15" w16cid:durableId="200476745">
    <w:abstractNumId w:val="8"/>
  </w:num>
  <w:num w:numId="16" w16cid:durableId="1078676453">
    <w:abstractNumId w:val="23"/>
  </w:num>
  <w:num w:numId="17" w16cid:durableId="2060130551">
    <w:abstractNumId w:val="7"/>
  </w:num>
  <w:num w:numId="18" w16cid:durableId="944579437">
    <w:abstractNumId w:val="26"/>
  </w:num>
  <w:num w:numId="19" w16cid:durableId="6665959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18"/>
  </w:num>
  <w:num w:numId="21" w16cid:durableId="1167942206">
    <w:abstractNumId w:val="25"/>
  </w:num>
  <w:num w:numId="22" w16cid:durableId="1576278152">
    <w:abstractNumId w:val="20"/>
  </w:num>
  <w:num w:numId="23" w16cid:durableId="1493065126">
    <w:abstractNumId w:val="21"/>
  </w:num>
  <w:num w:numId="24" w16cid:durableId="1291669054">
    <w:abstractNumId w:val="6"/>
  </w:num>
  <w:num w:numId="25" w16cid:durableId="849292654">
    <w:abstractNumId w:val="1"/>
  </w:num>
  <w:num w:numId="26" w16cid:durableId="974606384">
    <w:abstractNumId w:val="13"/>
  </w:num>
  <w:num w:numId="27" w16cid:durableId="101927162">
    <w:abstractNumId w:val="15"/>
  </w:num>
  <w:num w:numId="28" w16cid:durableId="1531146005">
    <w:abstractNumId w:val="22"/>
  </w:num>
  <w:num w:numId="29" w16cid:durableId="29013888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C82"/>
    <w:rsid w:val="0003169D"/>
    <w:rsid w:val="00042216"/>
    <w:rsid w:val="0004440D"/>
    <w:rsid w:val="000473AE"/>
    <w:rsid w:val="000479A4"/>
    <w:rsid w:val="00060E09"/>
    <w:rsid w:val="00065EBB"/>
    <w:rsid w:val="0006634B"/>
    <w:rsid w:val="00067A68"/>
    <w:rsid w:val="00067AC4"/>
    <w:rsid w:val="00085FFA"/>
    <w:rsid w:val="00093338"/>
    <w:rsid w:val="00096EA9"/>
    <w:rsid w:val="000B5C44"/>
    <w:rsid w:val="000C33B9"/>
    <w:rsid w:val="000D0015"/>
    <w:rsid w:val="000E50BC"/>
    <w:rsid w:val="000E511D"/>
    <w:rsid w:val="000E62A8"/>
    <w:rsid w:val="000F4033"/>
    <w:rsid w:val="000F69EB"/>
    <w:rsid w:val="00104E1F"/>
    <w:rsid w:val="00106790"/>
    <w:rsid w:val="00141733"/>
    <w:rsid w:val="00171384"/>
    <w:rsid w:val="001B3C23"/>
    <w:rsid w:val="001E180A"/>
    <w:rsid w:val="001F16C5"/>
    <w:rsid w:val="00206853"/>
    <w:rsid w:val="00230C42"/>
    <w:rsid w:val="0023448E"/>
    <w:rsid w:val="002538A6"/>
    <w:rsid w:val="00283847"/>
    <w:rsid w:val="002A0E3C"/>
    <w:rsid w:val="002A1273"/>
    <w:rsid w:val="002A164A"/>
    <w:rsid w:val="002B06C4"/>
    <w:rsid w:val="002B48D9"/>
    <w:rsid w:val="002C6EC0"/>
    <w:rsid w:val="002D73CD"/>
    <w:rsid w:val="002F1A01"/>
    <w:rsid w:val="00301341"/>
    <w:rsid w:val="00307954"/>
    <w:rsid w:val="003112C5"/>
    <w:rsid w:val="00323605"/>
    <w:rsid w:val="003414AD"/>
    <w:rsid w:val="00362CE3"/>
    <w:rsid w:val="00373FE8"/>
    <w:rsid w:val="00395139"/>
    <w:rsid w:val="00396F0E"/>
    <w:rsid w:val="003B555D"/>
    <w:rsid w:val="003C7561"/>
    <w:rsid w:val="003D5C78"/>
    <w:rsid w:val="003E0730"/>
    <w:rsid w:val="003E3D99"/>
    <w:rsid w:val="004165DF"/>
    <w:rsid w:val="00421C0F"/>
    <w:rsid w:val="00425183"/>
    <w:rsid w:val="00427D4F"/>
    <w:rsid w:val="00443ED1"/>
    <w:rsid w:val="004607BF"/>
    <w:rsid w:val="004A2856"/>
    <w:rsid w:val="004E08C9"/>
    <w:rsid w:val="004E492A"/>
    <w:rsid w:val="00502DA3"/>
    <w:rsid w:val="00514DF4"/>
    <w:rsid w:val="00522EB9"/>
    <w:rsid w:val="00523355"/>
    <w:rsid w:val="00540714"/>
    <w:rsid w:val="0055632C"/>
    <w:rsid w:val="00560102"/>
    <w:rsid w:val="00562861"/>
    <w:rsid w:val="00567147"/>
    <w:rsid w:val="00584F42"/>
    <w:rsid w:val="005B32F1"/>
    <w:rsid w:val="005B399D"/>
    <w:rsid w:val="005B4CE3"/>
    <w:rsid w:val="005C0340"/>
    <w:rsid w:val="005E603C"/>
    <w:rsid w:val="00607E3B"/>
    <w:rsid w:val="00613730"/>
    <w:rsid w:val="00622C04"/>
    <w:rsid w:val="00636627"/>
    <w:rsid w:val="00642126"/>
    <w:rsid w:val="00660415"/>
    <w:rsid w:val="006624E0"/>
    <w:rsid w:val="00662E70"/>
    <w:rsid w:val="006852EA"/>
    <w:rsid w:val="00696205"/>
    <w:rsid w:val="006B63F0"/>
    <w:rsid w:val="006B75D5"/>
    <w:rsid w:val="006C0BF1"/>
    <w:rsid w:val="006C2E1F"/>
    <w:rsid w:val="006D18A9"/>
    <w:rsid w:val="006F2DF6"/>
    <w:rsid w:val="006F5C2E"/>
    <w:rsid w:val="00700672"/>
    <w:rsid w:val="007210D8"/>
    <w:rsid w:val="00753B09"/>
    <w:rsid w:val="00773CAC"/>
    <w:rsid w:val="0077696D"/>
    <w:rsid w:val="00797574"/>
    <w:rsid w:val="007A7721"/>
    <w:rsid w:val="007B1034"/>
    <w:rsid w:val="007C22EC"/>
    <w:rsid w:val="007D3EBA"/>
    <w:rsid w:val="007D4A68"/>
    <w:rsid w:val="007D5955"/>
    <w:rsid w:val="007E4C67"/>
    <w:rsid w:val="007F145D"/>
    <w:rsid w:val="007F69F3"/>
    <w:rsid w:val="00802B4F"/>
    <w:rsid w:val="008031AB"/>
    <w:rsid w:val="00814CFB"/>
    <w:rsid w:val="00824AB7"/>
    <w:rsid w:val="008627DE"/>
    <w:rsid w:val="00870281"/>
    <w:rsid w:val="008A4335"/>
    <w:rsid w:val="008C7875"/>
    <w:rsid w:val="008D0A4D"/>
    <w:rsid w:val="008E4C9A"/>
    <w:rsid w:val="008E5CF4"/>
    <w:rsid w:val="00912AEA"/>
    <w:rsid w:val="0093009D"/>
    <w:rsid w:val="00932E8D"/>
    <w:rsid w:val="00937D94"/>
    <w:rsid w:val="00946288"/>
    <w:rsid w:val="00976DE1"/>
    <w:rsid w:val="00993460"/>
    <w:rsid w:val="009950A9"/>
    <w:rsid w:val="009955FC"/>
    <w:rsid w:val="00996EB8"/>
    <w:rsid w:val="00997E8E"/>
    <w:rsid w:val="009C0081"/>
    <w:rsid w:val="009D7C55"/>
    <w:rsid w:val="009F671E"/>
    <w:rsid w:val="009F6C52"/>
    <w:rsid w:val="00A01A6E"/>
    <w:rsid w:val="00A22407"/>
    <w:rsid w:val="00A57D5D"/>
    <w:rsid w:val="00A81B4A"/>
    <w:rsid w:val="00A84F31"/>
    <w:rsid w:val="00A87C68"/>
    <w:rsid w:val="00A92EEA"/>
    <w:rsid w:val="00A9639D"/>
    <w:rsid w:val="00A97921"/>
    <w:rsid w:val="00AA0A17"/>
    <w:rsid w:val="00AA43E6"/>
    <w:rsid w:val="00AB7A37"/>
    <w:rsid w:val="00AC35A4"/>
    <w:rsid w:val="00AE481C"/>
    <w:rsid w:val="00B04FE6"/>
    <w:rsid w:val="00B05D85"/>
    <w:rsid w:val="00B14821"/>
    <w:rsid w:val="00B226B9"/>
    <w:rsid w:val="00B30111"/>
    <w:rsid w:val="00B428B6"/>
    <w:rsid w:val="00B43DDA"/>
    <w:rsid w:val="00B66E5F"/>
    <w:rsid w:val="00BA15F9"/>
    <w:rsid w:val="00BA23B5"/>
    <w:rsid w:val="00BA2D40"/>
    <w:rsid w:val="00BB273F"/>
    <w:rsid w:val="00BB3A55"/>
    <w:rsid w:val="00BB7222"/>
    <w:rsid w:val="00BC2196"/>
    <w:rsid w:val="00BD228E"/>
    <w:rsid w:val="00BD6F7D"/>
    <w:rsid w:val="00BE0B7E"/>
    <w:rsid w:val="00C178F6"/>
    <w:rsid w:val="00C240A0"/>
    <w:rsid w:val="00C2715C"/>
    <w:rsid w:val="00C37ED4"/>
    <w:rsid w:val="00C40E9A"/>
    <w:rsid w:val="00C46FAB"/>
    <w:rsid w:val="00C50239"/>
    <w:rsid w:val="00C51BFA"/>
    <w:rsid w:val="00C61E12"/>
    <w:rsid w:val="00C71149"/>
    <w:rsid w:val="00C7159F"/>
    <w:rsid w:val="00C72F49"/>
    <w:rsid w:val="00C91D43"/>
    <w:rsid w:val="00C96480"/>
    <w:rsid w:val="00CA5359"/>
    <w:rsid w:val="00CB1C55"/>
    <w:rsid w:val="00CB5C10"/>
    <w:rsid w:val="00CC0EA3"/>
    <w:rsid w:val="00CC56AD"/>
    <w:rsid w:val="00CD2658"/>
    <w:rsid w:val="00CE0247"/>
    <w:rsid w:val="00CE31C6"/>
    <w:rsid w:val="00D002B3"/>
    <w:rsid w:val="00D11969"/>
    <w:rsid w:val="00D1206A"/>
    <w:rsid w:val="00D13202"/>
    <w:rsid w:val="00D1512C"/>
    <w:rsid w:val="00D30DAF"/>
    <w:rsid w:val="00D5278E"/>
    <w:rsid w:val="00D55F1B"/>
    <w:rsid w:val="00D75978"/>
    <w:rsid w:val="00DA6227"/>
    <w:rsid w:val="00DB1878"/>
    <w:rsid w:val="00DB2B27"/>
    <w:rsid w:val="00DD47CA"/>
    <w:rsid w:val="00DD59D6"/>
    <w:rsid w:val="00DF3A7B"/>
    <w:rsid w:val="00E5217E"/>
    <w:rsid w:val="00E534B7"/>
    <w:rsid w:val="00E67679"/>
    <w:rsid w:val="00E7540C"/>
    <w:rsid w:val="00E77717"/>
    <w:rsid w:val="00E93A2D"/>
    <w:rsid w:val="00EA599C"/>
    <w:rsid w:val="00EC4DE3"/>
    <w:rsid w:val="00EE40A8"/>
    <w:rsid w:val="00F07EB7"/>
    <w:rsid w:val="00F10B6D"/>
    <w:rsid w:val="00F33F7C"/>
    <w:rsid w:val="00F61CCA"/>
    <w:rsid w:val="00FA5424"/>
    <w:rsid w:val="00FB228F"/>
    <w:rsid w:val="00FE3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10679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9212550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1016</Words>
  <Characters>5792</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5</cp:revision>
  <dcterms:created xsi:type="dcterms:W3CDTF">2024-01-11T14:33:00Z</dcterms:created>
  <dcterms:modified xsi:type="dcterms:W3CDTF">2024-04-18T14:23:00Z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